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E61CB" w14:textId="59F6F40F" w:rsidR="0046165B" w:rsidRPr="0009004E" w:rsidRDefault="00E41D61" w:rsidP="00FA5A8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  <w:lang w:val="es-EC"/>
        </w:rPr>
      </w:pPr>
      <w:r>
        <w:rPr>
          <w:rFonts w:ascii="Arial" w:eastAsia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07C60A72" wp14:editId="5038A0D7">
                <wp:simplePos x="0" y="0"/>
                <wp:positionH relativeFrom="margin">
                  <wp:posOffset>-549275</wp:posOffset>
                </wp:positionH>
                <wp:positionV relativeFrom="page">
                  <wp:posOffset>413385</wp:posOffset>
                </wp:positionV>
                <wp:extent cx="1589405" cy="376555"/>
                <wp:effectExtent l="0" t="0" r="0" b="0"/>
                <wp:wrapNone/>
                <wp:docPr id="1073741831" name="Rectángulo 1073741831" descr="Boletín N° 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0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66C0A7" w14:textId="521E3F60" w:rsidR="00E41D61" w:rsidRDefault="00E41D61" w:rsidP="00E41D61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8"/>
                              </w:rPr>
                              <w:t xml:space="preserve">Boletín N° 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C60A72" id="Rectángulo 1073741831" o:spid="_x0000_s1026" alt="Boletín N° 000" style="position:absolute;left:0;text-align:left;margin-left:-43.25pt;margin-top:32.55pt;width:125.15pt;height:29.65pt;z-index:25166131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" filled="f" stroked="f">
                <v:textbox inset="1.26875mm,1.26875mm,1.26875mm,1.26875mm">
                  <w:txbxContent>
                    <w:p w14:paraId="6466C0A7" w14:textId="521E3F60" w:rsidR="00E41D61" w:rsidRDefault="00E41D61" w:rsidP="00E41D61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8"/>
                        </w:rPr>
                        <w:t xml:space="preserve">Boletín N° 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eastAsia="Arial" w:hAnsi="Arial" w:cs="Arial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5CF55B67" wp14:editId="074C8726">
                <wp:simplePos x="0" y="0"/>
                <wp:positionH relativeFrom="margin">
                  <wp:posOffset>4145280</wp:posOffset>
                </wp:positionH>
                <wp:positionV relativeFrom="page">
                  <wp:posOffset>529590</wp:posOffset>
                </wp:positionV>
                <wp:extent cx="1766815" cy="340414"/>
                <wp:effectExtent l="0" t="0" r="0" b="0"/>
                <wp:wrapNone/>
                <wp:docPr id="1073741830" name="Rectángulo 1073741830" descr="02 de junio de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6815" cy="340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6E988" w14:textId="30225CBC" w:rsidR="00DF5269" w:rsidRDefault="00985BE3">
                            <w:pPr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1</w:t>
                            </w:r>
                            <w:r w:rsidR="0009004E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9</w:t>
                            </w:r>
                            <w:r w:rsidR="005110E8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 xml:space="preserve"> de </w:t>
                            </w:r>
                            <w:proofErr w:type="spellStart"/>
                            <w:r w:rsidR="005110E8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>junio</w:t>
                            </w:r>
                            <w:proofErr w:type="spellEnd"/>
                            <w:r w:rsidR="005110E8">
                              <w:rPr>
                                <w:rFonts w:ascii="Arial" w:eastAsia="Arial" w:hAnsi="Arial" w:cs="Arial"/>
                                <w:color w:val="484396"/>
                                <w:sz w:val="28"/>
                              </w:rPr>
                              <w:t xml:space="preserve"> de 2025</w:t>
                            </w:r>
                          </w:p>
                        </w:txbxContent>
                      </wps:txbx>
                      <wps:bodyPr spcFirstLastPara="1" wrap="square" lIns="45675" tIns="45675" rIns="45675" bIns="45675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55B67" id="Rectángulo 1073741830" o:spid="_x0000_s1027" alt="02 de junio de 2025" style="position:absolute;left:0;text-align:left;margin-left:326.4pt;margin-top:41.7pt;width:139.1pt;height:26.8pt;z-index: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" filled="f" stroked="f">
                <v:textbox inset="1.26875mm,1.26875mm,1.26875mm,1.26875mm">
                  <w:txbxContent>
                    <w:p w14:paraId="46D6E988" w14:textId="30225CBC" w:rsidR="00DF5269" w:rsidRDefault="00985BE3">
                      <w:pPr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1</w:t>
                      </w:r>
                      <w:r w:rsidR="0009004E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9</w:t>
                      </w:r>
                      <w:r w:rsidR="005110E8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 xml:space="preserve"> de </w:t>
                      </w:r>
                      <w:proofErr w:type="spellStart"/>
                      <w:r w:rsidR="005110E8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>junio</w:t>
                      </w:r>
                      <w:proofErr w:type="spellEnd"/>
                      <w:r w:rsidR="005110E8">
                        <w:rPr>
                          <w:rFonts w:ascii="Arial" w:eastAsia="Arial" w:hAnsi="Arial" w:cs="Arial"/>
                          <w:color w:val="484396"/>
                          <w:sz w:val="28"/>
                        </w:rPr>
                        <w:t xml:space="preserve"> de 2025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9004E" w:rsidRPr="0009004E">
        <w:rPr>
          <w:rFonts w:ascii="Arial" w:hAnsi="Arial" w:cs="Arial"/>
          <w:b/>
          <w:bCs/>
          <w:sz w:val="28"/>
          <w:szCs w:val="28"/>
          <w:lang w:val="es-EC"/>
        </w:rPr>
        <w:t xml:space="preserve"> </w:t>
      </w:r>
      <w:bookmarkStart w:id="0" w:name="_GoBack"/>
      <w:r w:rsidR="0009004E" w:rsidRPr="0009004E">
        <w:rPr>
          <w:rFonts w:ascii="Arial" w:hAnsi="Arial" w:cs="Arial"/>
          <w:b/>
          <w:bCs/>
          <w:sz w:val="28"/>
          <w:szCs w:val="28"/>
          <w:lang w:val="es-EC"/>
        </w:rPr>
        <w:t xml:space="preserve">Esmeraldas: 18.814 productores capacitados y asistidos </w:t>
      </w:r>
      <w:r w:rsidR="0009004E" w:rsidRPr="0009004E">
        <w:rPr>
          <w:rFonts w:ascii="Arial" w:hAnsi="Arial" w:cs="Arial"/>
          <w:b/>
          <w:sz w:val="28"/>
          <w:szCs w:val="28"/>
          <w:lang w:val="es-EC" w:eastAsia="zh-CN" w:bidi="ar"/>
        </w:rPr>
        <w:t xml:space="preserve">en </w:t>
      </w:r>
      <w:r w:rsidR="0009004E" w:rsidRPr="0009004E">
        <w:rPr>
          <w:rFonts w:ascii="Arial" w:hAnsi="Arial" w:cs="Arial"/>
          <w:b/>
          <w:kern w:val="2"/>
          <w:sz w:val="28"/>
          <w:szCs w:val="28"/>
          <w:lang w:val="es-EC" w:eastAsia="zh-CN" w:bidi="ar"/>
          <w14:ligatures w14:val="standardContextual"/>
        </w:rPr>
        <w:t>2024</w:t>
      </w:r>
      <w:bookmarkEnd w:id="0"/>
    </w:p>
    <w:p w14:paraId="7089AFF8" w14:textId="77777777" w:rsidR="00252C0A" w:rsidRPr="00985BE3" w:rsidRDefault="00252C0A" w:rsidP="00252C0A">
      <w:pPr>
        <w:rPr>
          <w:rFonts w:ascii="Arial" w:hAnsi="Arial" w:cs="Arial"/>
          <w:b/>
          <w:bCs/>
          <w:sz w:val="28"/>
          <w:szCs w:val="28"/>
          <w:lang w:val="es-EC"/>
        </w:rPr>
      </w:pPr>
    </w:p>
    <w:p w14:paraId="4F7CAE1B" w14:textId="77777777" w:rsidR="00985BE3" w:rsidRDefault="00985BE3" w:rsidP="00252C0A">
      <w:pPr>
        <w:jc w:val="both"/>
        <w:rPr>
          <w:rFonts w:ascii="Arial" w:hAnsi="Arial" w:cs="Arial"/>
          <w:lang w:val="es-EC"/>
        </w:rPr>
      </w:pPr>
    </w:p>
    <w:p w14:paraId="38E940FE" w14:textId="77777777" w:rsidR="0009004E" w:rsidRPr="0009004E" w:rsidRDefault="0009004E" w:rsidP="0009004E">
      <w:pPr>
        <w:spacing w:after="160" w:line="276" w:lineRule="auto"/>
        <w:jc w:val="both"/>
        <w:rPr>
          <w:rFonts w:ascii="Arial" w:eastAsia="Calibri" w:hAnsi="Arial" w:cs="Arial"/>
          <w:lang w:val="es-EC" w:eastAsia="zh-CN" w:bidi="ar"/>
        </w:rPr>
      </w:pPr>
      <w:r w:rsidRPr="0009004E">
        <w:rPr>
          <w:rFonts w:ascii="Arial" w:eastAsia="Calibri" w:hAnsi="Arial" w:cs="Arial"/>
          <w:lang w:val="es-EC" w:eastAsia="zh-CN" w:bidi="ar"/>
        </w:rPr>
        <w:t>En cumplimiento a lo dispuesto por el Consejo de Participación Ciudadana y Control Social (CPCCS), la Dirección Distrital Esmeraldas del Ministerio de Agricultura y Ganadería (MAG) realizó el acto de rendición de cuentas correspondiente al periodo 2024, un proceso para garantizar la transparencia y la participación ciudadana en la toma de decisiones.</w:t>
      </w:r>
    </w:p>
    <w:p w14:paraId="676F222B" w14:textId="77777777" w:rsidR="0009004E" w:rsidRDefault="0009004E" w:rsidP="0009004E">
      <w:pPr>
        <w:pStyle w:val="Default"/>
        <w:jc w:val="both"/>
        <w:rPr>
          <w:rFonts w:ascii="Arial" w:hAnsi="Arial" w:cs="Arial"/>
          <w:lang w:eastAsia="zh-CN" w:bidi="ar"/>
        </w:rPr>
      </w:pPr>
      <w:r>
        <w:rPr>
          <w:rFonts w:ascii="Arial" w:hAnsi="Arial" w:cs="Arial"/>
          <w:lang w:eastAsia="zh-CN" w:bidi="ar"/>
        </w:rPr>
        <w:t xml:space="preserve">El director Distrital, Paúl Vera, afirmó que “estos resultados son el compromiso del equipo administrativo y técnico del MAG en Esmeraldas para el desarrollo de la ruralidad de la provincia”. </w:t>
      </w:r>
    </w:p>
    <w:p w14:paraId="2D7EB9EB" w14:textId="77777777" w:rsidR="0009004E" w:rsidRDefault="0009004E" w:rsidP="0009004E">
      <w:pPr>
        <w:pStyle w:val="Default"/>
        <w:jc w:val="both"/>
        <w:rPr>
          <w:rFonts w:ascii="Arial" w:hAnsi="Arial" w:cs="Arial"/>
          <w:kern w:val="2"/>
          <w:lang w:eastAsia="zh-CN" w:bidi="ar"/>
          <w14:ligatures w14:val="standardContextual"/>
        </w:rPr>
      </w:pPr>
      <w:r>
        <w:rPr>
          <w:rFonts w:ascii="Arial" w:hAnsi="Arial" w:cs="Arial"/>
          <w:lang w:eastAsia="zh-CN" w:bidi="ar"/>
        </w:rPr>
        <w:t xml:space="preserve"> </w:t>
      </w:r>
    </w:p>
    <w:p w14:paraId="71AF2E3B" w14:textId="77777777" w:rsidR="0009004E" w:rsidRDefault="0009004E" w:rsidP="0009004E">
      <w:pPr>
        <w:pStyle w:val="Default"/>
        <w:jc w:val="both"/>
        <w:rPr>
          <w:rFonts w:ascii="Arial" w:hAnsi="Arial" w:cs="Arial"/>
          <w:kern w:val="2"/>
          <w:lang w:eastAsia="zh-CN" w:bidi="ar"/>
          <w14:ligatures w14:val="standardContextual"/>
        </w:rPr>
      </w:pP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Durante </w:t>
      </w:r>
      <w:r>
        <w:rPr>
          <w:rFonts w:ascii="Arial" w:hAnsi="Arial" w:cs="Arial"/>
          <w:lang w:eastAsia="zh-CN" w:bidi="ar"/>
        </w:rPr>
        <w:t>2024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>, la Dirección</w:t>
      </w:r>
      <w:r>
        <w:rPr>
          <w:rFonts w:ascii="Arial" w:hAnsi="Arial" w:cs="Arial"/>
          <w:lang w:eastAsia="zh-CN" w:bidi="ar"/>
        </w:rPr>
        <w:t xml:space="preserve"> Distrital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 ejecutó el 9</w:t>
      </w:r>
      <w:r>
        <w:rPr>
          <w:rFonts w:ascii="Arial" w:hAnsi="Arial" w:cs="Arial"/>
          <w:lang w:eastAsia="zh-CN" w:bidi="ar"/>
        </w:rPr>
        <w:t>7,85% del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 presupuesto total, por un monto de </w:t>
      </w:r>
      <w:r w:rsidRPr="006C3A9C">
        <w:rPr>
          <w:rFonts w:ascii="Arial" w:hAnsi="Arial" w:cs="Arial"/>
          <w:bCs/>
        </w:rPr>
        <w:t>1.047.574,45</w:t>
      </w:r>
      <w:r w:rsidRPr="006C3A9C">
        <w:rPr>
          <w:rFonts w:ascii="Calibri" w:hAnsi="Calibri" w:cs="Calibri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>dólares en gasto corriente y de inversión, demostrando eficiencia y transparencia en la administración de recursos públicos.</w:t>
      </w:r>
    </w:p>
    <w:p w14:paraId="688D80AC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</w:p>
    <w:p w14:paraId="178E2E6A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>
        <w:rPr>
          <w:rFonts w:ascii="Arial" w:hAnsi="Arial" w:cs="Arial"/>
          <w:lang w:eastAsia="zh-CN" w:bidi="ar"/>
        </w:rPr>
        <w:t>l trabajo desarrollado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 por el Proyecto Integral de Diversificación, Agroproductiva y de Reconversión Agrícola (PIDARA), permitió que </w:t>
      </w:r>
      <w:r>
        <w:rPr>
          <w:rFonts w:ascii="Arial" w:hAnsi="Arial" w:cs="Arial"/>
          <w:bCs/>
        </w:rPr>
        <w:t>18.814 p</w:t>
      </w:r>
      <w:r w:rsidRPr="002F16D1">
        <w:rPr>
          <w:rFonts w:ascii="Arial" w:hAnsi="Arial" w:cs="Arial"/>
          <w:bCs/>
        </w:rPr>
        <w:t>rod</w:t>
      </w:r>
      <w:r>
        <w:rPr>
          <w:rFonts w:ascii="Arial" w:hAnsi="Arial" w:cs="Arial"/>
          <w:bCs/>
        </w:rPr>
        <w:t>uctores sean capacitados y asistidos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 en diferentes rubros. </w:t>
      </w:r>
      <w:r>
        <w:rPr>
          <w:rFonts w:ascii="Arial" w:hAnsi="Arial" w:cs="Arial"/>
        </w:rPr>
        <w:t>Se entregaron 259 paquetes agrícolas ciclo v</w:t>
      </w:r>
      <w:r w:rsidRPr="002F1630">
        <w:rPr>
          <w:rFonts w:ascii="Arial" w:hAnsi="Arial" w:cs="Arial"/>
        </w:rPr>
        <w:t xml:space="preserve">erano 2024, </w:t>
      </w:r>
      <w:r>
        <w:rPr>
          <w:rFonts w:ascii="Arial" w:hAnsi="Arial" w:cs="Arial"/>
        </w:rPr>
        <w:t xml:space="preserve">por un valor de 45.495 dólares. </w:t>
      </w:r>
    </w:p>
    <w:p w14:paraId="44974983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</w:p>
    <w:p w14:paraId="7AEBF87C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la provincia se entregaron siete </w:t>
      </w:r>
      <w:r w:rsidRPr="002F1630">
        <w:rPr>
          <w:rFonts w:ascii="Arial" w:hAnsi="Arial" w:cs="Arial"/>
        </w:rPr>
        <w:t>Unidades Móviles Agro</w:t>
      </w:r>
      <w:r>
        <w:rPr>
          <w:rFonts w:ascii="Arial" w:hAnsi="Arial" w:cs="Arial"/>
        </w:rPr>
        <w:t>productivas, en los c</w:t>
      </w:r>
      <w:r w:rsidRPr="002F1630">
        <w:rPr>
          <w:rFonts w:ascii="Arial" w:hAnsi="Arial" w:cs="Arial"/>
        </w:rPr>
        <w:t>antones</w:t>
      </w:r>
      <w:r>
        <w:rPr>
          <w:rFonts w:ascii="Arial" w:hAnsi="Arial" w:cs="Arial"/>
        </w:rPr>
        <w:t xml:space="preserve"> Quinindé, San Lorenzo, Rioverde y Esmeraldas, por un valor de </w:t>
      </w:r>
      <w:r w:rsidRPr="002F1630">
        <w:rPr>
          <w:rFonts w:ascii="Arial" w:hAnsi="Arial" w:cs="Arial"/>
        </w:rPr>
        <w:t>98.384,09</w:t>
      </w:r>
      <w:r>
        <w:rPr>
          <w:rFonts w:ascii="Arial" w:hAnsi="Arial" w:cs="Arial"/>
        </w:rPr>
        <w:t xml:space="preserve"> dólares. Con estas entregas los productores realizan mejor el traslado de sus productos y reducen costos de traslado.</w:t>
      </w:r>
    </w:p>
    <w:p w14:paraId="49A89B57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</w:p>
    <w:p w14:paraId="645C40D4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kern w:val="2"/>
          <w:lang w:eastAsia="zh-CN" w:bidi="ar"/>
          <w14:ligatures w14:val="standardContextual"/>
        </w:rPr>
        <w:t>En cu</w:t>
      </w:r>
      <w:r>
        <w:rPr>
          <w:rFonts w:ascii="Arial" w:hAnsi="Arial" w:cs="Arial"/>
          <w:bCs/>
          <w:lang w:eastAsia="zh-CN" w:bidi="ar"/>
        </w:rPr>
        <w:t xml:space="preserve">anto al </w:t>
      </w:r>
      <w:r w:rsidRPr="006C3A9C">
        <w:rPr>
          <w:rFonts w:ascii="Arial" w:hAnsi="Arial" w:cs="Arial"/>
          <w:bCs/>
          <w:color w:val="auto"/>
        </w:rPr>
        <w:t>Proyecto de Regularización de Tierras Ru</w:t>
      </w:r>
      <w:r>
        <w:rPr>
          <w:rFonts w:ascii="Arial" w:hAnsi="Arial" w:cs="Arial"/>
          <w:bCs/>
          <w:color w:val="auto"/>
        </w:rPr>
        <w:t>rales y Territorios Ancestrales, s</w:t>
      </w:r>
      <w:r>
        <w:rPr>
          <w:rFonts w:ascii="Arial" w:hAnsi="Arial" w:cs="Arial"/>
        </w:rPr>
        <w:t>e concedieron 626 títulos de p</w:t>
      </w:r>
      <w:r w:rsidRPr="006C3A9C">
        <w:rPr>
          <w:rFonts w:ascii="Arial" w:hAnsi="Arial" w:cs="Arial"/>
        </w:rPr>
        <w:t>ropiedad en las zonas rurales de los</w:t>
      </w:r>
      <w:r>
        <w:rPr>
          <w:rFonts w:ascii="Arial" w:hAnsi="Arial" w:cs="Arial"/>
        </w:rPr>
        <w:t xml:space="preserve"> siete cantones de la provincia, con un total de 6.472,02 hectáreas</w:t>
      </w:r>
      <w:r w:rsidRPr="006C3A9C">
        <w:rPr>
          <w:rFonts w:ascii="Arial" w:hAnsi="Arial" w:cs="Arial"/>
        </w:rPr>
        <w:t xml:space="preserve"> legalizadas</w:t>
      </w:r>
      <w:r>
        <w:rPr>
          <w:rFonts w:ascii="Arial" w:hAnsi="Arial" w:cs="Arial"/>
        </w:rPr>
        <w:t xml:space="preserve">. </w:t>
      </w:r>
    </w:p>
    <w:p w14:paraId="422FF841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</w:p>
    <w:p w14:paraId="4553BD64" w14:textId="77777777" w:rsidR="0009004E" w:rsidRPr="0009004E" w:rsidRDefault="0009004E" w:rsidP="0009004E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es-EC" w:eastAsia="zh-CN" w:bidi="ar"/>
        </w:rPr>
      </w:pPr>
      <w:r w:rsidRPr="0009004E">
        <w:rPr>
          <w:rFonts w:ascii="Arial" w:eastAsia="Calibri" w:hAnsi="Arial" w:cs="Arial"/>
          <w:color w:val="000000"/>
          <w:lang w:val="es-EC" w:eastAsia="zh-CN" w:bidi="ar"/>
        </w:rPr>
        <w:t xml:space="preserve">Con respecto al Proyecto Nacional de Reconversión y Sostenibilidad Ganadera se realizaron 189 inseminaciones artificiales con </w:t>
      </w:r>
      <w:r w:rsidRPr="0009004E">
        <w:rPr>
          <w:rFonts w:ascii="Arial" w:eastAsia="Calibri" w:hAnsi="Arial" w:cs="Arial"/>
          <w:lang w:val="es-EC" w:eastAsia="zh-CN" w:bidi="ar"/>
        </w:rPr>
        <w:t>material genético de la hacienda El Rosario</w:t>
      </w:r>
      <w:r w:rsidRPr="0009004E">
        <w:rPr>
          <w:rFonts w:ascii="Arial" w:eastAsia="Calibri" w:hAnsi="Arial" w:cs="Arial"/>
          <w:color w:val="000000"/>
          <w:lang w:val="es-EC" w:eastAsia="zh-CN" w:bidi="ar"/>
        </w:rPr>
        <w:t>. S</w:t>
      </w:r>
      <w:r w:rsidRPr="0009004E">
        <w:rPr>
          <w:rFonts w:ascii="Arial" w:eastAsia="Calibri" w:hAnsi="Arial" w:cs="Arial"/>
          <w:lang w:val="es-EC" w:eastAsia="zh-CN" w:bidi="ar"/>
        </w:rPr>
        <w:t>e capacitaron a 643 productores ganaderos y dentro del proyecto se implementaron cinco Escuelas de Fortalecimiento Productivo Pecuario, beneficiando así a 100 productores.</w:t>
      </w:r>
    </w:p>
    <w:p w14:paraId="38956EC2" w14:textId="77777777" w:rsidR="0009004E" w:rsidRPr="0009004E" w:rsidRDefault="0009004E" w:rsidP="0009004E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es-EC" w:eastAsia="zh-CN" w:bidi="ar"/>
        </w:rPr>
      </w:pPr>
    </w:p>
    <w:p w14:paraId="57C6E29D" w14:textId="77777777" w:rsidR="0009004E" w:rsidRPr="009D706F" w:rsidRDefault="0009004E" w:rsidP="0009004E">
      <w:pPr>
        <w:pStyle w:val="Default"/>
        <w:jc w:val="both"/>
        <w:rPr>
          <w:sz w:val="20"/>
          <w:szCs w:val="20"/>
        </w:rPr>
      </w:pPr>
      <w:r>
        <w:rPr>
          <w:rFonts w:ascii="Arial" w:hAnsi="Arial" w:cs="Arial"/>
          <w:lang w:eastAsia="zh-CN" w:bidi="ar"/>
        </w:rPr>
        <w:t xml:space="preserve">También se otorgó un certificado para la comercialización de semillas de pasto y maíz, se capacitaron 346 productores en el rubro de musáceas, se organizaron 31 eventos de capacitación en Buenas Prácticas Agrícolas y 212 productores recibieron asistencias técnicas, lo que permitió una intervención en 450 hectáreas. </w:t>
      </w:r>
    </w:p>
    <w:p w14:paraId="03F08E96" w14:textId="77777777" w:rsidR="0009004E" w:rsidRPr="0009004E" w:rsidRDefault="0009004E" w:rsidP="0009004E">
      <w:pPr>
        <w:autoSpaceDE w:val="0"/>
        <w:autoSpaceDN w:val="0"/>
        <w:adjustRightInd w:val="0"/>
        <w:jc w:val="both"/>
        <w:rPr>
          <w:rFonts w:ascii="Arial" w:hAnsi="Arial" w:cs="Arial"/>
          <w:lang w:val="es-EC"/>
        </w:rPr>
      </w:pPr>
    </w:p>
    <w:p w14:paraId="3E9AB309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kern w:val="2"/>
          <w:lang w:eastAsia="zh-CN" w:bidi="ar"/>
          <w14:ligatures w14:val="standardContextual"/>
        </w:rPr>
        <w:lastRenderedPageBreak/>
        <w:t xml:space="preserve">En el área de aprovechamiento forestal, se entregaron </w:t>
      </w:r>
      <w:r>
        <w:rPr>
          <w:rFonts w:ascii="Arial" w:hAnsi="Arial" w:cs="Arial"/>
        </w:rPr>
        <w:t>307 programas aprobado</w:t>
      </w:r>
      <w:r w:rsidRPr="00FA7C61">
        <w:rPr>
          <w:rFonts w:ascii="Arial" w:hAnsi="Arial" w:cs="Arial"/>
        </w:rPr>
        <w:t xml:space="preserve">s para </w:t>
      </w:r>
      <w:r>
        <w:rPr>
          <w:rFonts w:ascii="Arial" w:hAnsi="Arial" w:cs="Arial"/>
        </w:rPr>
        <w:t>a</w:t>
      </w:r>
      <w:r w:rsidRPr="00FA7C61">
        <w:rPr>
          <w:rFonts w:ascii="Arial" w:hAnsi="Arial" w:cs="Arial"/>
        </w:rPr>
        <w:t>provechamien</w:t>
      </w:r>
      <w:r>
        <w:rPr>
          <w:rFonts w:ascii="Arial" w:hAnsi="Arial" w:cs="Arial"/>
        </w:rPr>
        <w:t xml:space="preserve">to, con superficie de 4.590,94 hectáreas </w:t>
      </w:r>
      <w:r w:rsidRPr="00FA7C61">
        <w:rPr>
          <w:rFonts w:ascii="Arial" w:hAnsi="Arial" w:cs="Arial"/>
        </w:rPr>
        <w:t>y 64</w:t>
      </w:r>
      <w:r>
        <w:rPr>
          <w:rFonts w:ascii="Arial" w:hAnsi="Arial" w:cs="Arial"/>
        </w:rPr>
        <w:t>.098,</w:t>
      </w:r>
      <w:r w:rsidRPr="00FA7C61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 </w:t>
      </w:r>
      <w:r w:rsidRPr="00FA7C61">
        <w:rPr>
          <w:rFonts w:ascii="Arial" w:hAnsi="Arial" w:cs="Arial"/>
        </w:rPr>
        <w:t>m3</w:t>
      </w:r>
      <w:r>
        <w:rPr>
          <w:rFonts w:ascii="Arial" w:hAnsi="Arial" w:cs="Arial"/>
        </w:rPr>
        <w:t>;</w:t>
      </w:r>
      <w:r w:rsidRPr="00FA7C61">
        <w:rPr>
          <w:rFonts w:ascii="Arial" w:hAnsi="Arial" w:cs="Arial"/>
        </w:rPr>
        <w:t xml:space="preserve"> las especies forestales registradas</w:t>
      </w:r>
      <w:r>
        <w:rPr>
          <w:rFonts w:ascii="Arial" w:hAnsi="Arial" w:cs="Arial"/>
        </w:rPr>
        <w:t xml:space="preserve"> y aprobadas corresponden a la teca, melina, pachaco, j</w:t>
      </w:r>
      <w:r w:rsidRPr="00FA7C61">
        <w:rPr>
          <w:rFonts w:ascii="Arial" w:hAnsi="Arial" w:cs="Arial"/>
        </w:rPr>
        <w:t xml:space="preserve">acaranda, </w:t>
      </w:r>
      <w:r>
        <w:rPr>
          <w:rFonts w:ascii="Arial" w:hAnsi="Arial" w:cs="Arial"/>
        </w:rPr>
        <w:t>catanga y guayacán b</w:t>
      </w:r>
      <w:r w:rsidRPr="00FA7C61">
        <w:rPr>
          <w:rFonts w:ascii="Arial" w:hAnsi="Arial" w:cs="Arial"/>
        </w:rPr>
        <w:t xml:space="preserve">lanco. </w:t>
      </w:r>
      <w:r>
        <w:rPr>
          <w:rFonts w:ascii="Arial" w:hAnsi="Arial" w:cs="Arial"/>
        </w:rPr>
        <w:t>En</w:t>
      </w:r>
      <w:r w:rsidRPr="00FA7C61">
        <w:rPr>
          <w:rFonts w:ascii="Arial" w:hAnsi="Arial" w:cs="Arial"/>
        </w:rPr>
        <w:t xml:space="preserve"> el Cantón Quinindé se</w:t>
      </w:r>
      <w:r>
        <w:rPr>
          <w:rFonts w:ascii="Arial" w:hAnsi="Arial" w:cs="Arial"/>
        </w:rPr>
        <w:t xml:space="preserve"> </w:t>
      </w:r>
      <w:r w:rsidRPr="00FA7C61">
        <w:rPr>
          <w:rFonts w:ascii="Arial" w:hAnsi="Arial" w:cs="Arial"/>
        </w:rPr>
        <w:t>aprob</w:t>
      </w:r>
      <w:r>
        <w:rPr>
          <w:rFonts w:ascii="Arial" w:hAnsi="Arial" w:cs="Arial"/>
        </w:rPr>
        <w:t>ó</w:t>
      </w:r>
      <w:r w:rsidRPr="00FA7C61">
        <w:rPr>
          <w:rFonts w:ascii="Arial" w:hAnsi="Arial" w:cs="Arial"/>
        </w:rPr>
        <w:t xml:space="preserve"> el 47% de los programas en este 2024.</w:t>
      </w:r>
    </w:p>
    <w:p w14:paraId="4FD32FFE" w14:textId="77777777" w:rsidR="0009004E" w:rsidRPr="00FA7C61" w:rsidRDefault="0009004E" w:rsidP="0009004E">
      <w:pPr>
        <w:pStyle w:val="Default"/>
        <w:jc w:val="both"/>
        <w:rPr>
          <w:rFonts w:ascii="Arial" w:hAnsi="Arial" w:cs="Arial"/>
        </w:rPr>
      </w:pPr>
      <w:r w:rsidRPr="00FA7C61">
        <w:rPr>
          <w:rFonts w:ascii="Arial" w:hAnsi="Arial" w:cs="Arial"/>
        </w:rPr>
        <w:t xml:space="preserve"> </w:t>
      </w:r>
    </w:p>
    <w:p w14:paraId="73E5074D" w14:textId="77777777" w:rsidR="0009004E" w:rsidRDefault="0009004E" w:rsidP="0009004E">
      <w:pPr>
        <w:pStyle w:val="Default"/>
        <w:jc w:val="both"/>
        <w:rPr>
          <w:sz w:val="20"/>
          <w:szCs w:val="20"/>
        </w:rPr>
      </w:pPr>
      <w:r>
        <w:rPr>
          <w:rFonts w:ascii="Arial" w:hAnsi="Arial" w:cs="Arial"/>
        </w:rPr>
        <w:t xml:space="preserve">Además, se vendió 173.940 dólares </w:t>
      </w:r>
      <w:r w:rsidRPr="00C91AD2">
        <w:rPr>
          <w:rFonts w:ascii="Arial" w:hAnsi="Arial" w:cs="Arial"/>
        </w:rPr>
        <w:t>de productores de la Agricultura Familiar Campesina</w:t>
      </w:r>
      <w:r>
        <w:rPr>
          <w:rFonts w:ascii="Arial" w:hAnsi="Arial" w:cs="Arial"/>
        </w:rPr>
        <w:t xml:space="preserve"> (AFC)</w:t>
      </w:r>
      <w:r w:rsidRPr="00C91AD2">
        <w:rPr>
          <w:rFonts w:ascii="Arial" w:hAnsi="Arial" w:cs="Arial"/>
        </w:rPr>
        <w:t xml:space="preserve"> en Circuitos Alternat</w:t>
      </w:r>
      <w:r>
        <w:rPr>
          <w:rFonts w:ascii="Arial" w:hAnsi="Arial" w:cs="Arial"/>
        </w:rPr>
        <w:t xml:space="preserve">ivos de Comercialización (Cialcos), mientras que se lograron </w:t>
      </w:r>
      <w:r w:rsidRPr="00C91AD2">
        <w:rPr>
          <w:rFonts w:ascii="Arial" w:hAnsi="Arial" w:cs="Arial"/>
        </w:rPr>
        <w:t>217.437,42</w:t>
      </w:r>
      <w:r>
        <w:rPr>
          <w:rFonts w:ascii="Arial" w:hAnsi="Arial" w:cs="Arial"/>
        </w:rPr>
        <w:t xml:space="preserve"> dólares en ventas </w:t>
      </w:r>
      <w:r w:rsidRPr="00C91AD2">
        <w:rPr>
          <w:rFonts w:ascii="Arial" w:hAnsi="Arial" w:cs="Arial"/>
        </w:rPr>
        <w:t>en los mecanismos de comercialización mayoristas de pequeños y medianos productores agropecuarios</w:t>
      </w:r>
      <w:r w:rsidRPr="00C91AD2">
        <w:rPr>
          <w:sz w:val="20"/>
          <w:szCs w:val="20"/>
        </w:rPr>
        <w:t xml:space="preserve">. </w:t>
      </w:r>
    </w:p>
    <w:p w14:paraId="3456019F" w14:textId="77777777" w:rsidR="0009004E" w:rsidRDefault="0009004E" w:rsidP="0009004E">
      <w:pPr>
        <w:pStyle w:val="Default"/>
        <w:jc w:val="both"/>
        <w:rPr>
          <w:sz w:val="20"/>
          <w:szCs w:val="20"/>
        </w:rPr>
      </w:pPr>
    </w:p>
    <w:p w14:paraId="6288F2EC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través del Proyecto CampoSeguro </w:t>
      </w:r>
      <w:r w:rsidRPr="0010746A">
        <w:rPr>
          <w:rFonts w:ascii="Arial" w:hAnsi="Arial" w:cs="Arial"/>
        </w:rPr>
        <w:t xml:space="preserve">se </w:t>
      </w:r>
      <w:r w:rsidRPr="0010746A">
        <w:rPr>
          <w:rFonts w:ascii="Arial" w:hAnsi="Arial" w:cs="Arial"/>
          <w:bCs/>
        </w:rPr>
        <w:t>capacitaron</w:t>
      </w:r>
      <w:r w:rsidRPr="0010746A">
        <w:rPr>
          <w:rFonts w:ascii="Arial" w:hAnsi="Arial" w:cs="Arial"/>
        </w:rPr>
        <w:t xml:space="preserve"> 688 productores agropecuarios, en temas de beneficios, coberturas del Seguro Agrícola y Ganadero. </w:t>
      </w:r>
      <w:r>
        <w:rPr>
          <w:rFonts w:ascii="Arial" w:hAnsi="Arial" w:cs="Arial"/>
        </w:rPr>
        <w:t xml:space="preserve">Se generaron </w:t>
      </w:r>
      <w:r w:rsidRPr="0010746A">
        <w:rPr>
          <w:rFonts w:ascii="Arial" w:hAnsi="Arial" w:cs="Arial"/>
        </w:rPr>
        <w:t xml:space="preserve">334 </w:t>
      </w:r>
      <w:r>
        <w:rPr>
          <w:rFonts w:ascii="Arial" w:hAnsi="Arial" w:cs="Arial"/>
        </w:rPr>
        <w:t>p</w:t>
      </w:r>
      <w:r w:rsidRPr="0010746A">
        <w:rPr>
          <w:rFonts w:ascii="Arial" w:hAnsi="Arial" w:cs="Arial"/>
        </w:rPr>
        <w:t xml:space="preserve">ólizas de Seguro </w:t>
      </w:r>
      <w:r w:rsidRPr="0010746A">
        <w:rPr>
          <w:rFonts w:ascii="Arial" w:hAnsi="Arial" w:cs="Arial"/>
          <w:bCs/>
        </w:rPr>
        <w:t>Agrícola</w:t>
      </w:r>
      <w:r>
        <w:rPr>
          <w:rFonts w:ascii="Arial" w:hAnsi="Arial" w:cs="Arial"/>
          <w:bCs/>
        </w:rPr>
        <w:t>, c</w:t>
      </w:r>
      <w:r w:rsidRPr="0010746A">
        <w:rPr>
          <w:rFonts w:ascii="Arial" w:hAnsi="Arial" w:cs="Arial"/>
        </w:rPr>
        <w:t>on 1</w:t>
      </w:r>
      <w:r>
        <w:rPr>
          <w:rFonts w:ascii="Arial" w:hAnsi="Arial" w:cs="Arial"/>
        </w:rPr>
        <w:t>.</w:t>
      </w:r>
      <w:r w:rsidRPr="0010746A">
        <w:rPr>
          <w:rFonts w:ascii="Arial" w:hAnsi="Arial" w:cs="Arial"/>
        </w:rPr>
        <w:t>834,05 hectáreas de cultivos asegur</w:t>
      </w:r>
      <w:r>
        <w:rPr>
          <w:rFonts w:ascii="Arial" w:hAnsi="Arial" w:cs="Arial"/>
        </w:rPr>
        <w:t>ados. Los rubros asegurados son 96% cacao, 3% palma a</w:t>
      </w:r>
      <w:r w:rsidRPr="0010746A">
        <w:rPr>
          <w:rFonts w:ascii="Arial" w:hAnsi="Arial" w:cs="Arial"/>
        </w:rPr>
        <w:t xml:space="preserve">fricana </w:t>
      </w:r>
      <w:r>
        <w:rPr>
          <w:rFonts w:ascii="Arial" w:hAnsi="Arial" w:cs="Arial"/>
        </w:rPr>
        <w:t>y 2% otros cultivos como balsa y p</w:t>
      </w:r>
      <w:r w:rsidRPr="0010746A">
        <w:rPr>
          <w:rFonts w:ascii="Arial" w:hAnsi="Arial" w:cs="Arial"/>
        </w:rPr>
        <w:t>itahaya</w:t>
      </w:r>
      <w:r>
        <w:rPr>
          <w:rFonts w:ascii="Arial" w:hAnsi="Arial" w:cs="Arial"/>
        </w:rPr>
        <w:t>,</w:t>
      </w:r>
      <w:r w:rsidRPr="0010746A">
        <w:rPr>
          <w:rFonts w:ascii="Arial" w:hAnsi="Arial" w:cs="Arial"/>
        </w:rPr>
        <w:t xml:space="preserve"> con</w:t>
      </w:r>
      <w:r>
        <w:rPr>
          <w:rFonts w:ascii="Arial" w:hAnsi="Arial" w:cs="Arial"/>
        </w:rPr>
        <w:t xml:space="preserve"> una subvención de 4</w:t>
      </w:r>
      <w:r w:rsidRPr="0010746A">
        <w:rPr>
          <w:rFonts w:ascii="Arial" w:hAnsi="Arial" w:cs="Arial"/>
        </w:rPr>
        <w:t>8.214,07</w:t>
      </w:r>
      <w:r>
        <w:rPr>
          <w:rFonts w:ascii="Arial" w:hAnsi="Arial" w:cs="Arial"/>
        </w:rPr>
        <w:t xml:space="preserve"> dólares, benefician</w:t>
      </w:r>
      <w:r w:rsidRPr="0010746A">
        <w:rPr>
          <w:rFonts w:ascii="Arial" w:hAnsi="Arial" w:cs="Arial"/>
        </w:rPr>
        <w:t xml:space="preserve">do a 334 productores. </w:t>
      </w:r>
    </w:p>
    <w:p w14:paraId="3ADC307C" w14:textId="77777777" w:rsidR="0009004E" w:rsidRDefault="0009004E" w:rsidP="0009004E">
      <w:pPr>
        <w:pStyle w:val="Default"/>
        <w:jc w:val="both"/>
        <w:rPr>
          <w:rFonts w:ascii="Arial" w:hAnsi="Arial" w:cs="Arial"/>
        </w:rPr>
      </w:pPr>
    </w:p>
    <w:p w14:paraId="2C3CDC57" w14:textId="77777777" w:rsidR="0009004E" w:rsidRPr="00EA4257" w:rsidRDefault="0009004E" w:rsidP="0009004E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lang w:eastAsia="zh-CN" w:bidi="ar"/>
        </w:rPr>
        <w:t>Por medio</w:t>
      </w:r>
      <w:r>
        <w:rPr>
          <w:rFonts w:ascii="Arial" w:hAnsi="Arial" w:cs="Arial"/>
          <w:kern w:val="2"/>
          <w:lang w:eastAsia="zh-CN" w:bidi="ar"/>
          <w14:ligatures w14:val="standardContextual"/>
        </w:rPr>
        <w:t xml:space="preserve"> de la Unidad de Gestión de Innovación Agropecuaria, se emitieron </w:t>
      </w:r>
      <w:r>
        <w:rPr>
          <w:rFonts w:ascii="Arial" w:hAnsi="Arial" w:cs="Arial"/>
          <w:lang w:eastAsia="zh-CN" w:bidi="ar"/>
        </w:rPr>
        <w:t>13</w:t>
      </w:r>
      <w:r w:rsidRPr="0010746A">
        <w:rPr>
          <w:sz w:val="20"/>
          <w:szCs w:val="20"/>
        </w:rPr>
        <w:t xml:space="preserve"> </w:t>
      </w:r>
      <w:r>
        <w:rPr>
          <w:rFonts w:ascii="Arial" w:hAnsi="Arial" w:cs="Arial"/>
        </w:rPr>
        <w:t>resoluciones</w:t>
      </w:r>
      <w:r w:rsidRPr="0010746A">
        <w:rPr>
          <w:rFonts w:ascii="Arial" w:hAnsi="Arial" w:cs="Arial"/>
        </w:rPr>
        <w:t xml:space="preserve"> de vida jurídica</w:t>
      </w:r>
      <w:r>
        <w:rPr>
          <w:sz w:val="20"/>
          <w:szCs w:val="20"/>
        </w:rPr>
        <w:t xml:space="preserve">, </w:t>
      </w:r>
      <w:r w:rsidRPr="00EA4257">
        <w:rPr>
          <w:rFonts w:ascii="Arial" w:hAnsi="Arial" w:cs="Arial"/>
        </w:rPr>
        <w:t>27</w:t>
      </w:r>
      <w:r>
        <w:rPr>
          <w:sz w:val="20"/>
          <w:szCs w:val="20"/>
        </w:rPr>
        <w:t xml:space="preserve"> </w:t>
      </w:r>
      <w:r w:rsidRPr="00EA4257">
        <w:rPr>
          <w:rFonts w:ascii="Arial" w:hAnsi="Arial" w:cs="Arial"/>
        </w:rPr>
        <w:t>registros de directivas</w:t>
      </w:r>
      <w:r>
        <w:rPr>
          <w:rFonts w:ascii="Arial" w:hAnsi="Arial" w:cs="Arial"/>
        </w:rPr>
        <w:t>, 25 cabildos r</w:t>
      </w:r>
      <w:r w:rsidRPr="00EA4257">
        <w:rPr>
          <w:rFonts w:ascii="Arial" w:hAnsi="Arial" w:cs="Arial"/>
        </w:rPr>
        <w:t>egistrados</w:t>
      </w:r>
      <w:r>
        <w:rPr>
          <w:rFonts w:ascii="Arial" w:hAnsi="Arial" w:cs="Arial"/>
        </w:rPr>
        <w:t xml:space="preserve">, </w:t>
      </w:r>
      <w:r w:rsidRPr="00EA4257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>documentos de i</w:t>
      </w:r>
      <w:r w:rsidRPr="00EA4257">
        <w:rPr>
          <w:rFonts w:ascii="Arial" w:hAnsi="Arial" w:cs="Arial"/>
        </w:rPr>
        <w:t xml:space="preserve">nclusión y </w:t>
      </w:r>
      <w:r>
        <w:rPr>
          <w:rFonts w:ascii="Arial" w:hAnsi="Arial" w:cs="Arial"/>
        </w:rPr>
        <w:t>e</w:t>
      </w:r>
      <w:r w:rsidRPr="00EA4257">
        <w:rPr>
          <w:rFonts w:ascii="Arial" w:hAnsi="Arial" w:cs="Arial"/>
        </w:rPr>
        <w:t>xclusione</w:t>
      </w:r>
      <w:r>
        <w:rPr>
          <w:rFonts w:ascii="Arial" w:hAnsi="Arial" w:cs="Arial"/>
        </w:rPr>
        <w:t>s de socios de asociaciones y 36 certificaciones de p</w:t>
      </w:r>
      <w:r w:rsidRPr="00EA4257">
        <w:rPr>
          <w:rFonts w:ascii="Arial" w:hAnsi="Arial" w:cs="Arial"/>
        </w:rPr>
        <w:t>roceso</w:t>
      </w:r>
      <w:r>
        <w:rPr>
          <w:rFonts w:ascii="Arial" w:hAnsi="Arial" w:cs="Arial"/>
        </w:rPr>
        <w:t>s de inicio</w:t>
      </w:r>
      <w:r w:rsidRPr="00EA4257">
        <w:rPr>
          <w:rFonts w:ascii="Arial" w:hAnsi="Arial" w:cs="Arial"/>
        </w:rPr>
        <w:t xml:space="preserve"> de trámites</w:t>
      </w:r>
      <w:r>
        <w:rPr>
          <w:rFonts w:ascii="Arial" w:hAnsi="Arial" w:cs="Arial"/>
        </w:rPr>
        <w:t>.</w:t>
      </w:r>
      <w:r w:rsidRPr="00EA4257">
        <w:rPr>
          <w:rFonts w:ascii="Arial" w:hAnsi="Arial" w:cs="Arial"/>
        </w:rPr>
        <w:t xml:space="preserve"> </w:t>
      </w:r>
    </w:p>
    <w:p w14:paraId="35DDC089" w14:textId="77777777" w:rsidR="0009004E" w:rsidRPr="00EA4257" w:rsidRDefault="0009004E" w:rsidP="0009004E">
      <w:pPr>
        <w:pStyle w:val="Default"/>
        <w:jc w:val="both"/>
        <w:rPr>
          <w:rFonts w:ascii="Arial" w:hAnsi="Arial" w:cs="Arial"/>
        </w:rPr>
      </w:pPr>
      <w:r w:rsidRPr="00EA4257">
        <w:rPr>
          <w:rFonts w:ascii="Arial" w:hAnsi="Arial" w:cs="Arial"/>
        </w:rPr>
        <w:t xml:space="preserve"> </w:t>
      </w:r>
    </w:p>
    <w:p w14:paraId="2314B70B" w14:textId="173013D3" w:rsidR="00F63BB3" w:rsidRDefault="0009004E" w:rsidP="000900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lang w:val="es-EC"/>
        </w:rPr>
      </w:pPr>
      <w:r w:rsidRPr="0009004E">
        <w:rPr>
          <w:rFonts w:ascii="Arial" w:hAnsi="Arial" w:cs="Arial"/>
          <w:lang w:val="es-EC"/>
        </w:rPr>
        <w:t>Este es el resultado de la gestión del MAG en Esmeraldas durante 2024, donde los productores agropecuarios se beneficiaron de una gestión eficiente y comprometida con el agro.</w:t>
      </w:r>
    </w:p>
    <w:p w14:paraId="09A868D8" w14:textId="77777777" w:rsidR="003D722C" w:rsidRDefault="003D722C" w:rsidP="00985BE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lang w:val="es-EC"/>
        </w:rPr>
      </w:pPr>
    </w:p>
    <w:sectPr w:rsidR="003D722C" w:rsidSect="00E41D61">
      <w:headerReference w:type="default" r:id="rId7"/>
      <w:footerReference w:type="default" r:id="rId8"/>
      <w:pgSz w:w="11900" w:h="16840"/>
      <w:pgMar w:top="2268" w:right="1701" w:bottom="1417" w:left="1701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7A408" w14:textId="77777777" w:rsidR="00CD6CE9" w:rsidRDefault="00CD6CE9">
      <w:r>
        <w:separator/>
      </w:r>
    </w:p>
  </w:endnote>
  <w:endnote w:type="continuationSeparator" w:id="0">
    <w:p w14:paraId="0CC318D2" w14:textId="77777777" w:rsidR="00CD6CE9" w:rsidRDefault="00CD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4F8AE" w14:textId="114FD887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0288" behindDoc="1" locked="0" layoutInCell="1" hidden="0" allowOverlap="1" wp14:anchorId="422B2204" wp14:editId="1EE33C0E">
          <wp:simplePos x="0" y="0"/>
          <wp:positionH relativeFrom="margin">
            <wp:align>center</wp:align>
          </wp:positionH>
          <wp:positionV relativeFrom="page">
            <wp:posOffset>9499600</wp:posOffset>
          </wp:positionV>
          <wp:extent cx="7620236" cy="1421178"/>
          <wp:effectExtent l="0" t="0" r="0" b="7620"/>
          <wp:wrapNone/>
          <wp:docPr id="928148295" name="image1.png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age2.png"/>
                  <pic:cNvPicPr preferRelativeResize="0"/>
                </pic:nvPicPr>
                <pic:blipFill>
                  <a:blip r:embed="rId1"/>
                  <a:srcRect t="3374" b="3374"/>
                  <a:stretch>
                    <a:fillRect/>
                  </a:stretch>
                </pic:blipFill>
                <pic:spPr>
                  <a:xfrm>
                    <a:off x="0" y="0"/>
                    <a:ext cx="7620236" cy="14211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AD53A" w14:textId="77777777" w:rsidR="00CD6CE9" w:rsidRDefault="00CD6CE9">
      <w:r>
        <w:separator/>
      </w:r>
    </w:p>
  </w:footnote>
  <w:footnote w:type="continuationSeparator" w:id="0">
    <w:p w14:paraId="6D18E173" w14:textId="77777777" w:rsidR="00CD6CE9" w:rsidRDefault="00CD6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9AC92" w14:textId="26CC93D3" w:rsidR="00DF5269" w:rsidRDefault="00E41D6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478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noProof/>
        <w:color w:val="000000"/>
      </w:rPr>
      <w:drawing>
        <wp:anchor distT="0" distB="0" distL="0" distR="0" simplePos="0" relativeHeight="251662336" behindDoc="1" locked="0" layoutInCell="1" hidden="0" allowOverlap="1" wp14:anchorId="60FD7D9D" wp14:editId="50BBFBF0">
          <wp:simplePos x="0" y="0"/>
          <wp:positionH relativeFrom="page">
            <wp:posOffset>45085</wp:posOffset>
          </wp:positionH>
          <wp:positionV relativeFrom="page">
            <wp:posOffset>0</wp:posOffset>
          </wp:positionV>
          <wp:extent cx="7558405" cy="1238250"/>
          <wp:effectExtent l="0" t="0" r="0" b="6350"/>
          <wp:wrapNone/>
          <wp:docPr id="1109350323" name="image2.pn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image1.png"/>
                  <pic:cNvPicPr preferRelativeResize="0"/>
                </pic:nvPicPr>
                <pic:blipFill>
                  <a:blip r:embed="rId1"/>
                  <a:srcRect t="9042" b="9042"/>
                  <a:stretch>
                    <a:fillRect/>
                  </a:stretch>
                </pic:blipFill>
                <pic:spPr>
                  <a:xfrm>
                    <a:off x="0" y="0"/>
                    <a:ext cx="7558405" cy="1238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noProof/>
        <w:color w:val="000000"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56FC6590" wp14:editId="20C94CC2">
              <wp:simplePos x="0" y="0"/>
              <wp:positionH relativeFrom="page">
                <wp:posOffset>778199</wp:posOffset>
              </wp:positionH>
              <wp:positionV relativeFrom="page">
                <wp:posOffset>434340</wp:posOffset>
              </wp:positionV>
              <wp:extent cx="1590029" cy="377125"/>
              <wp:effectExtent l="0" t="0" r="0" b="0"/>
              <wp:wrapNone/>
              <wp:docPr id="1073741832" name="Rectángulo 1073741832" descr="Boletín N° 0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555748" y="3596200"/>
                        <a:ext cx="1580504" cy="36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971366" w14:textId="77777777" w:rsidR="00DF5269" w:rsidRDefault="005110E8">
                          <w:pPr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28"/>
                            </w:rPr>
                            <w:t>Boletín N° 000</w:t>
                          </w:r>
                        </w:p>
                      </w:txbxContent>
                    </wps:txbx>
                    <wps:bodyPr spcFirstLastPara="1" wrap="square" lIns="45675" tIns="45675" rIns="45675" bIns="4567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FC6590" id="Rectángulo 1073741832" o:spid="_x0000_s1028" alt="Boletín N° 000" style="position:absolute;margin-left:61.3pt;margin-top:34.2pt;width:125.2pt;height:29.7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" filled="f" stroked="f">
              <v:textbox inset="1.26875mm,1.26875mm,1.26875mm,1.26875mm">
                <w:txbxContent>
                  <w:p w14:paraId="4C971366" w14:textId="77777777" w:rsidR="00DF5269" w:rsidRDefault="005110E8">
                    <w:pPr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28"/>
                      </w:rPr>
                      <w:t>Boletín N° 000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269"/>
    <w:rsid w:val="00015F1E"/>
    <w:rsid w:val="00031025"/>
    <w:rsid w:val="0009004E"/>
    <w:rsid w:val="00252C0A"/>
    <w:rsid w:val="003D722C"/>
    <w:rsid w:val="003F05DE"/>
    <w:rsid w:val="00450CD3"/>
    <w:rsid w:val="0046165B"/>
    <w:rsid w:val="0049161A"/>
    <w:rsid w:val="004A5FF5"/>
    <w:rsid w:val="005110E8"/>
    <w:rsid w:val="006B3162"/>
    <w:rsid w:val="00781ECC"/>
    <w:rsid w:val="00800EF1"/>
    <w:rsid w:val="00837A8A"/>
    <w:rsid w:val="008C549E"/>
    <w:rsid w:val="00985BE3"/>
    <w:rsid w:val="009D68FD"/>
    <w:rsid w:val="00A27E52"/>
    <w:rsid w:val="00B17D91"/>
    <w:rsid w:val="00B24ADD"/>
    <w:rsid w:val="00B837C5"/>
    <w:rsid w:val="00BB4148"/>
    <w:rsid w:val="00CA500B"/>
    <w:rsid w:val="00CD6CE9"/>
    <w:rsid w:val="00D57A53"/>
    <w:rsid w:val="00DF5269"/>
    <w:rsid w:val="00E41D61"/>
    <w:rsid w:val="00F63BB3"/>
    <w:rsid w:val="00FA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4031057"/>
  <w15:docId w15:val="{57D1792C-E378-477C-8301-E37306FF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Pr>
      <w:rFonts w:ascii="Calibri" w:eastAsia="Arial Unicode MS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52C0A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252C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C0A"/>
    <w:rPr>
      <w:lang w:val="en-US" w:eastAsia="en-US"/>
    </w:rPr>
  </w:style>
  <w:style w:type="paragraph" w:customStyle="1" w:styleId="Default">
    <w:name w:val="Default"/>
    <w:rsid w:val="0009004E"/>
    <w:pPr>
      <w:autoSpaceDE w:val="0"/>
      <w:autoSpaceDN w:val="0"/>
      <w:adjustRightInd w:val="0"/>
    </w:pPr>
    <w:rPr>
      <w:rFonts w:ascii="Cambria" w:eastAsia="Calibri" w:hAnsi="Cambria" w:cs="Cambria"/>
      <w:color w:val="000000"/>
      <w:lang w:val="es-EC"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9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NNPUdWIwJ0At226Wtyh0FFPyeg==">CgMxLjA4AHIhMTBoV1hUdjFTUjNteVNNblBiSmd0bzY2dHBJYlRUTVBF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Luis Alberto Gualotuña Pastrano</dc:creator>
  <cp:lastModifiedBy>Microsoft Office User</cp:lastModifiedBy>
  <cp:revision>2</cp:revision>
  <dcterms:created xsi:type="dcterms:W3CDTF">2025-06-18T13:25:00Z</dcterms:created>
  <dcterms:modified xsi:type="dcterms:W3CDTF">2025-06-18T13:25:00Z</dcterms:modified>
</cp:coreProperties>
</file>